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AB15" w14:textId="49D7EA28" w:rsidR="007A07F5" w:rsidRPr="00D01273" w:rsidRDefault="007A07F5" w:rsidP="00993CB4">
      <w:pPr>
        <w:pStyle w:val="H2"/>
        <w:spacing w:before="0" w:after="0" w:line="240" w:lineRule="auto"/>
        <w:rPr>
          <w:sz w:val="28"/>
          <w:szCs w:val="24"/>
          <w:lang w:val="pt-BR"/>
        </w:rPr>
      </w:pPr>
      <w:r w:rsidRPr="00D01273">
        <w:rPr>
          <w:sz w:val="28"/>
          <w:szCs w:val="24"/>
          <w:lang w:val="pt-BR"/>
        </w:rPr>
        <w:t>Prosc</w:t>
      </w:r>
      <w:r w:rsidRPr="00D01273">
        <w:rPr>
          <w:spacing w:val="20"/>
          <w:sz w:val="28"/>
          <w:szCs w:val="24"/>
          <w:lang w:val="pt-BR"/>
        </w:rPr>
        <w:t>i</w:t>
      </w:r>
      <w:r w:rsidRPr="00D01273">
        <w:rPr>
          <w:position w:val="6"/>
          <w:sz w:val="16"/>
          <w:szCs w:val="24"/>
          <w:vertAlign w:val="superscript"/>
          <w:lang w:val="pt-BR"/>
        </w:rPr>
        <w:t>®</w:t>
      </w:r>
      <w:r w:rsidRPr="00D01273">
        <w:rPr>
          <w:sz w:val="28"/>
          <w:szCs w:val="24"/>
          <w:lang w:val="pt-BR"/>
        </w:rPr>
        <w:t xml:space="preserve"> Change Management Competency Assessment para Gerentes e Supervisores</w:t>
      </w:r>
    </w:p>
    <w:p w14:paraId="372A9741" w14:textId="77777777" w:rsidR="006B50E5" w:rsidRDefault="006B50E5" w:rsidP="00993CB4">
      <w:pPr>
        <w:spacing w:after="0" w:line="240" w:lineRule="auto"/>
        <w:ind w:right="-28"/>
        <w:jc w:val="both"/>
        <w:rPr>
          <w:rFonts w:eastAsia="Times New Roman" w:cstheme="minorHAnsi"/>
          <w:bCs/>
          <w:sz w:val="20"/>
          <w:szCs w:val="20"/>
          <w:lang w:val="pt-BR"/>
        </w:rPr>
      </w:pPr>
    </w:p>
    <w:p w14:paraId="0A3DA3E2" w14:textId="78621560" w:rsidR="00993CB4" w:rsidRDefault="00993CB4" w:rsidP="00993CB4">
      <w:pPr>
        <w:spacing w:after="0" w:line="240" w:lineRule="auto"/>
        <w:ind w:right="-28"/>
        <w:jc w:val="both"/>
        <w:rPr>
          <w:rFonts w:eastAsia="Times New Roman" w:cstheme="minorHAnsi"/>
          <w:bCs/>
          <w:sz w:val="20"/>
          <w:szCs w:val="20"/>
          <w:lang w:val="pt-BR"/>
        </w:rPr>
      </w:pPr>
      <w:r w:rsidRPr="00993CB4">
        <w:rPr>
          <w:rFonts w:eastAsia="Times New Roman" w:cstheme="minorHAnsi"/>
          <w:bCs/>
          <w:sz w:val="20"/>
          <w:szCs w:val="20"/>
          <w:lang w:val="pt-BR"/>
        </w:rPr>
        <w:t xml:space="preserve">O objetivo dessa avaliação é fortalecer a participação visível e ativa dos gestores e gestoras de departamentos que disponibilizaram Key </w:t>
      </w:r>
      <w:proofErr w:type="spellStart"/>
      <w:r w:rsidRPr="00993CB4">
        <w:rPr>
          <w:rFonts w:eastAsia="Times New Roman" w:cstheme="minorHAnsi"/>
          <w:bCs/>
          <w:sz w:val="20"/>
          <w:szCs w:val="20"/>
          <w:lang w:val="pt-BR"/>
        </w:rPr>
        <w:t>Users</w:t>
      </w:r>
      <w:proofErr w:type="spellEnd"/>
      <w:r w:rsidRPr="00993CB4">
        <w:rPr>
          <w:rFonts w:eastAsia="Times New Roman" w:cstheme="minorHAnsi"/>
          <w:bCs/>
          <w:sz w:val="20"/>
          <w:szCs w:val="20"/>
          <w:lang w:val="pt-BR"/>
        </w:rPr>
        <w:t xml:space="preserve"> para o Projeto IFS.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Pr="00993CB4">
        <w:rPr>
          <w:rFonts w:eastAsia="Times New Roman" w:cstheme="minorHAnsi"/>
          <w:bCs/>
          <w:sz w:val="20"/>
          <w:szCs w:val="20"/>
          <w:lang w:val="pt-BR"/>
        </w:rPr>
        <w:t>As ações de melhoria serão baseadas nessas respostas.</w:t>
      </w:r>
    </w:p>
    <w:p w14:paraId="095AA9F9" w14:textId="34C13A15" w:rsidR="00B94ED5" w:rsidRDefault="00CB432A" w:rsidP="00993CB4">
      <w:pPr>
        <w:spacing w:after="0" w:line="240" w:lineRule="auto"/>
        <w:ind w:right="-28"/>
        <w:jc w:val="both"/>
        <w:rPr>
          <w:rFonts w:eastAsia="Times New Roman" w:cstheme="minorHAnsi"/>
          <w:bCs/>
          <w:sz w:val="20"/>
          <w:szCs w:val="20"/>
          <w:lang w:val="pt-BR"/>
        </w:rPr>
      </w:pPr>
      <w:r>
        <w:rPr>
          <w:rFonts w:eastAsia="Times New Roman" w:cstheme="minorHAnsi"/>
          <w:bCs/>
          <w:sz w:val="20"/>
          <w:szCs w:val="20"/>
          <w:lang w:val="pt-BR"/>
        </w:rPr>
        <w:t>Considerando o comportamento do(a) teu(tua) gestor(a), pontue de acordo com:</w:t>
      </w:r>
    </w:p>
    <w:p w14:paraId="3BD852D2" w14:textId="73642DCB" w:rsidR="00765933" w:rsidRDefault="00765933" w:rsidP="00993CB4">
      <w:pPr>
        <w:spacing w:after="0" w:line="240" w:lineRule="auto"/>
        <w:ind w:right="-28"/>
        <w:jc w:val="both"/>
        <w:rPr>
          <w:rFonts w:eastAsia="Times New Roman" w:cstheme="minorHAnsi"/>
          <w:bCs/>
          <w:sz w:val="20"/>
          <w:szCs w:val="20"/>
          <w:lang w:val="pt-BR"/>
        </w:rPr>
      </w:pPr>
      <w:r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1</w:t>
      </w:r>
      <w:r w:rsidR="00B94ED5"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.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>Ainda não agi</w:t>
      </w:r>
      <w:r w:rsidR="00CB432A">
        <w:rPr>
          <w:rFonts w:eastAsia="Times New Roman" w:cstheme="minorHAnsi"/>
          <w:bCs/>
          <w:sz w:val="20"/>
          <w:szCs w:val="20"/>
          <w:lang w:val="pt-BR"/>
        </w:rPr>
        <w:t>u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 xml:space="preserve"> assim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>|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2</w:t>
      </w:r>
      <w:r w:rsidR="00B94ED5"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.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>Agi</w:t>
      </w:r>
      <w:r w:rsidR="00CB432A">
        <w:rPr>
          <w:rFonts w:eastAsia="Times New Roman" w:cstheme="minorHAnsi"/>
          <w:bCs/>
          <w:sz w:val="20"/>
          <w:szCs w:val="20"/>
          <w:lang w:val="pt-BR"/>
        </w:rPr>
        <w:t>u assim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 xml:space="preserve"> algumas vezes</w:t>
      </w:r>
      <w:r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 xml:space="preserve">| </w:t>
      </w:r>
      <w:r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3</w:t>
      </w:r>
      <w:r w:rsidR="00B94ED5" w:rsidRPr="00CB432A">
        <w:rPr>
          <w:rFonts w:eastAsia="Times New Roman" w:cstheme="minorHAnsi"/>
          <w:b/>
          <w:sz w:val="20"/>
          <w:szCs w:val="20"/>
          <w:highlight w:val="yellow"/>
          <w:lang w:val="pt-BR"/>
        </w:rPr>
        <w:t>.</w:t>
      </w:r>
      <w:r w:rsidR="00B94ED5">
        <w:rPr>
          <w:rFonts w:eastAsia="Times New Roman" w:cstheme="minorHAnsi"/>
          <w:bCs/>
          <w:sz w:val="20"/>
          <w:szCs w:val="20"/>
          <w:lang w:val="pt-BR"/>
        </w:rPr>
        <w:t xml:space="preserve"> </w:t>
      </w:r>
      <w:r w:rsidR="00CB432A">
        <w:rPr>
          <w:rFonts w:eastAsia="Times New Roman" w:cstheme="minorHAnsi"/>
          <w:bCs/>
          <w:sz w:val="20"/>
          <w:szCs w:val="20"/>
          <w:lang w:val="pt-BR"/>
        </w:rPr>
        <w:t>Sempre age assim</w:t>
      </w:r>
    </w:p>
    <w:p w14:paraId="3EAEB372" w14:textId="77777777" w:rsidR="00993CB4" w:rsidRPr="00D01273" w:rsidRDefault="00993CB4" w:rsidP="00993CB4">
      <w:pPr>
        <w:spacing w:after="0" w:line="240" w:lineRule="auto"/>
        <w:ind w:right="-28"/>
        <w:jc w:val="both"/>
        <w:rPr>
          <w:rFonts w:eastAsia="Times New Roman" w:cstheme="minorHAnsi"/>
          <w:bCs/>
          <w:sz w:val="20"/>
          <w:szCs w:val="20"/>
          <w:lang w:val="pt-BR"/>
        </w:rPr>
      </w:pPr>
    </w:p>
    <w:tbl>
      <w:tblPr>
        <w:tblW w:w="1009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31"/>
        <w:gridCol w:w="455"/>
        <w:gridCol w:w="455"/>
        <w:gridCol w:w="455"/>
      </w:tblGrid>
      <w:tr w:rsidR="00993CB4" w:rsidRPr="00171407" w14:paraId="3EC19447" w14:textId="77777777" w:rsidTr="008C1AF1">
        <w:trPr>
          <w:cantSplit/>
        </w:trPr>
        <w:tc>
          <w:tcPr>
            <w:tcW w:w="10096" w:type="dxa"/>
            <w:gridSpan w:val="4"/>
          </w:tcPr>
          <w:p w14:paraId="17053B53" w14:textId="18C3A264" w:rsidR="00993CB4" w:rsidRPr="00E70F79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</w:pPr>
            <w:r w:rsidRPr="00E70F79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Categoria: </w:t>
            </w:r>
            <w:r w:rsidR="00E70F79" w:rsidRPr="00E70F79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Minha a</w:t>
            </w:r>
            <w:r w:rsidRPr="00E70F79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daptação à mudança</w:t>
            </w:r>
          </w:p>
        </w:tc>
      </w:tr>
      <w:tr w:rsidR="00993CB4" w:rsidRPr="00D01273" w14:paraId="75DB14CC" w14:textId="77777777" w:rsidTr="00993CB4">
        <w:tc>
          <w:tcPr>
            <w:tcW w:w="8731" w:type="dxa"/>
            <w:shd w:val="clear" w:color="auto" w:fill="CFCCEF" w:themeFill="accent4" w:themeFillTint="33"/>
          </w:tcPr>
          <w:p w14:paraId="4CED9FB6" w14:textId="446F6DC2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Procur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e aprimorar sobre o porquê desse projeto</w:t>
            </w:r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e as mudanças que </w:t>
            </w:r>
            <w:proofErr w:type="gramStart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o mesmo</w:t>
            </w:r>
            <w:proofErr w:type="gramEnd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irá gerar no </w:t>
            </w:r>
            <w:r w:rsidR="00171407" w:rsidRPr="00171407">
              <w:rPr>
                <w:rFonts w:eastAsia="Times New Roman" w:cstheme="minorHAnsi"/>
                <w:bCs/>
                <w:color w:val="FFFFFF" w:themeColor="background1"/>
                <w:kern w:val="28"/>
                <w:sz w:val="18"/>
                <w:szCs w:val="18"/>
                <w:highlight w:val="darkBlue"/>
                <w:lang w:val="pt-BR"/>
              </w:rPr>
              <w:t>Cliente</w:t>
            </w:r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5314DDEF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62930B57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3E26E990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6DCF7DF1" w14:textId="77777777" w:rsidTr="00993CB4">
        <w:tc>
          <w:tcPr>
            <w:tcW w:w="8731" w:type="dxa"/>
            <w:shd w:val="clear" w:color="auto" w:fill="CFCCEF" w:themeFill="accent4" w:themeFillTint="33"/>
          </w:tcPr>
          <w:p w14:paraId="70B9CDFE" w14:textId="2C5F0CFE" w:rsidR="00993CB4" w:rsidRPr="00B94ED5" w:rsidRDefault="00CB432A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Me questiona como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proofErr w:type="spellStart"/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key</w:t>
            </w:r>
            <w:proofErr w:type="spellEnd"/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proofErr w:type="spellStart"/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user</w:t>
            </w:r>
            <w:proofErr w:type="spellEnd"/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para conhecer os impactos do projeto no 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nosso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departamento.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23207B17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301EF7E6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2F190487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10533DA3" w14:textId="77777777" w:rsidTr="00993CB4">
        <w:tc>
          <w:tcPr>
            <w:tcW w:w="8731" w:type="dxa"/>
            <w:shd w:val="clear" w:color="auto" w:fill="CFCCEF" w:themeFill="accent4" w:themeFillTint="33"/>
          </w:tcPr>
          <w:p w14:paraId="4C1F6AA8" w14:textId="34F12350" w:rsidR="00993CB4" w:rsidRPr="00B94ED5" w:rsidRDefault="00CB432A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Me fornece</w:t>
            </w:r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proofErr w:type="spellStart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key</w:t>
            </w:r>
            <w:proofErr w:type="spellEnd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proofErr w:type="spellStart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user</w:t>
            </w:r>
            <w:proofErr w:type="spellEnd"/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com o cuidado de não atrapalhar o 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m</w:t>
            </w:r>
            <w:r w:rsidR="0050297C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eu desempenho no projeto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6C4B7C48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26EBBA6A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3C5B297C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39E3100D" w14:textId="77777777" w:rsidTr="00993CB4">
        <w:tc>
          <w:tcPr>
            <w:tcW w:w="8731" w:type="dxa"/>
            <w:shd w:val="clear" w:color="auto" w:fill="CFCCEF" w:themeFill="accent4" w:themeFillTint="33"/>
          </w:tcPr>
          <w:p w14:paraId="25FABB8B" w14:textId="12727605" w:rsidR="00993CB4" w:rsidRPr="00B94ED5" w:rsidRDefault="0050297C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abe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administrar bem a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minha 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ausência na área e consci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entiza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 equipe quanto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à minha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responsabilidade dele no projeto IFS.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1EF98C41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66865B66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CFCCEF" w:themeFill="accent4" w:themeFillTint="33"/>
            <w:vAlign w:val="center"/>
          </w:tcPr>
          <w:p w14:paraId="4B6D4453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</w:tbl>
    <w:p w14:paraId="0EA12D98" w14:textId="77777777" w:rsidR="00E70F79" w:rsidRPr="00E70F79" w:rsidRDefault="00E70F79" w:rsidP="00993CB4">
      <w:pPr>
        <w:spacing w:after="0" w:line="240" w:lineRule="auto"/>
        <w:ind w:left="720" w:firstLine="720"/>
        <w:rPr>
          <w:rFonts w:eastAsia="Times New Roman" w:cstheme="minorHAnsi"/>
          <w:bCs/>
          <w:sz w:val="10"/>
          <w:szCs w:val="10"/>
          <w:lang w:val="pt-BR"/>
        </w:rPr>
      </w:pPr>
    </w:p>
    <w:p w14:paraId="307EB5CE" w14:textId="52212752" w:rsidR="00993CB4" w:rsidRDefault="004735C4" w:rsidP="004735C4">
      <w:pPr>
        <w:spacing w:after="0" w:line="240" w:lineRule="auto"/>
        <w:rPr>
          <w:rFonts w:eastAsia="Times New Roman" w:cstheme="minorHAnsi"/>
          <w:bCs/>
          <w:sz w:val="16"/>
          <w:szCs w:val="16"/>
          <w:lang w:val="pt-BR"/>
        </w:rPr>
      </w:pP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="00993CB4" w:rsidRPr="00993CB4">
        <w:rPr>
          <w:rFonts w:eastAsia="Times New Roman" w:cstheme="minorHAnsi"/>
          <w:bCs/>
          <w:sz w:val="16"/>
          <w:szCs w:val="16"/>
          <w:lang w:val="pt-BR"/>
        </w:rPr>
        <w:t>Total (máximo de 1</w:t>
      </w:r>
      <w:r w:rsidR="006A3ACF">
        <w:rPr>
          <w:rFonts w:eastAsia="Times New Roman" w:cstheme="minorHAnsi"/>
          <w:bCs/>
          <w:sz w:val="16"/>
          <w:szCs w:val="16"/>
          <w:lang w:val="pt-BR"/>
        </w:rPr>
        <w:t>2</w:t>
      </w:r>
      <w:r w:rsidR="00993CB4" w:rsidRPr="00993CB4">
        <w:rPr>
          <w:rFonts w:eastAsia="Times New Roman" w:cstheme="minorHAnsi"/>
          <w:bCs/>
          <w:sz w:val="16"/>
          <w:szCs w:val="16"/>
          <w:lang w:val="pt-BR"/>
        </w:rPr>
        <w:t>):   _________</w:t>
      </w:r>
    </w:p>
    <w:p w14:paraId="5CEE58AB" w14:textId="3ECC76D5" w:rsidR="006A3ACF" w:rsidRDefault="006A3ACF" w:rsidP="004735C4">
      <w:pPr>
        <w:spacing w:after="0" w:line="240" w:lineRule="auto"/>
        <w:rPr>
          <w:rFonts w:eastAsia="Times New Roman" w:cstheme="minorHAnsi"/>
          <w:bCs/>
          <w:sz w:val="16"/>
          <w:szCs w:val="16"/>
          <w:lang w:val="pt-BR"/>
        </w:rPr>
      </w:pPr>
    </w:p>
    <w:tbl>
      <w:tblPr>
        <w:tblW w:w="100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27"/>
        <w:gridCol w:w="451"/>
        <w:gridCol w:w="451"/>
        <w:gridCol w:w="451"/>
      </w:tblGrid>
      <w:tr w:rsidR="003E2069" w:rsidRPr="00171407" w14:paraId="0243B677" w14:textId="77777777" w:rsidTr="00EC0BCF">
        <w:trPr>
          <w:cantSplit/>
        </w:trPr>
        <w:tc>
          <w:tcPr>
            <w:tcW w:w="10080" w:type="dxa"/>
            <w:gridSpan w:val="4"/>
          </w:tcPr>
          <w:p w14:paraId="7105B027" w14:textId="423B510B" w:rsidR="003E2069" w:rsidRPr="00C6728A" w:rsidRDefault="003E2069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  <w:lang w:val="pt-BR"/>
              </w:rPr>
            </w:pPr>
            <w:r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br w:type="page"/>
            </w:r>
            <w:r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br w:type="page"/>
            </w:r>
            <w:r w:rsidR="00993CB4" w:rsidRPr="00993CB4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Categoria: </w:t>
            </w:r>
            <w:r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Apresentação da mudança para </w:t>
            </w:r>
            <w:r w:rsidR="00E70F79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meus</w:t>
            </w:r>
            <w:r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 colaboradores</w:t>
            </w:r>
            <w:r w:rsidR="00E70F79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(as)</w:t>
            </w:r>
          </w:p>
        </w:tc>
      </w:tr>
      <w:tr w:rsidR="00993CB4" w:rsidRPr="00D01273" w14:paraId="51CF3525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76927A0E" w14:textId="496398E9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Compartilh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com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nossa equipe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 natureza da mudança com a visão </w:t>
            </w:r>
            <w:r w:rsidR="0076593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da organização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C616225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EFF1768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B31D542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7EDA9A5A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1536A310" w14:textId="22EA5C7A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Explic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E70F7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por que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 mudança está acontecendo, incluindo o risco de não mudar.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C1A4F63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8647A1B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51AD4270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532ABDE6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23605C78" w14:textId="68A9B482" w:rsidR="00993CB4" w:rsidRPr="00B94ED5" w:rsidRDefault="00CB432A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bookmarkStart w:id="0" w:name="_GoBack" w:colFirst="3" w:colLast="3"/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Estabelece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formalmente o diálogo com colaboradores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(as) da minha área,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pedindo</w:t>
            </w:r>
            <w:r w:rsidR="00E70F7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que 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f</w:t>
            </w:r>
            <w:r w:rsidR="00E70F7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orneçam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feedback e que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comuniquem suas dúvidas e preocupações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sobre essa mudança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2C81F1E" w14:textId="77777777" w:rsidR="00993CB4" w:rsidRPr="0076593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76593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125E8C3B" w14:textId="77777777" w:rsidR="00993CB4" w:rsidRPr="0076593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76593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50366E1A" w14:textId="77777777" w:rsidR="00993CB4" w:rsidRPr="0076593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76593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bookmarkEnd w:id="0"/>
      <w:tr w:rsidR="00993CB4" w:rsidRPr="00D01273" w14:paraId="7F9573D3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29C41452" w14:textId="55722101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Corri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ge</w:t>
            </w:r>
            <w:r w:rsidR="00E70F7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boatos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que podem estar circulando a respeito d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="00F765D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mudança</w:t>
            </w:r>
            <w:r w:rsidR="00F765D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que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estão por vir.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24C599D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2616D559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55036DBB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71A4EC7B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23895E24" w14:textId="317C4F7F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Demonstr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visivelmente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seu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apoio e </w:t>
            </w:r>
            <w:r w:rsidR="00E70F7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motivação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com a mudança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- colegas de </w:t>
            </w:r>
            <w:proofErr w:type="spellStart"/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depto</w:t>
            </w:r>
            <w:proofErr w:type="spellEnd"/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enxergam o(a) gestor(a) como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um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(a)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patrocinador</w:t>
            </w:r>
            <w:r w:rsidR="00CB432A">
              <w:rPr>
                <w:rFonts w:ascii="Open Sans" w:eastAsia="Times New Roman" w:hAnsi="Open Sans"/>
                <w:sz w:val="18"/>
                <w:szCs w:val="16"/>
                <w:lang w:val="pt-BR"/>
              </w:rPr>
              <w:t>(a)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da mudança.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7ED418D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13F89A16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33C0BFE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</w:tbl>
    <w:p w14:paraId="3FA37227" w14:textId="77777777" w:rsidR="00E70F79" w:rsidRPr="00E70F79" w:rsidRDefault="00E70F79" w:rsidP="00993CB4">
      <w:pPr>
        <w:spacing w:after="0" w:line="240" w:lineRule="auto"/>
        <w:jc w:val="center"/>
        <w:rPr>
          <w:sz w:val="10"/>
          <w:szCs w:val="10"/>
        </w:rPr>
      </w:pPr>
    </w:p>
    <w:p w14:paraId="53EF7127" w14:textId="77FDC592" w:rsidR="007A07F5" w:rsidRDefault="004735C4" w:rsidP="004735C4">
      <w:pPr>
        <w:spacing w:after="0" w:line="240" w:lineRule="auto"/>
        <w:rPr>
          <w:rFonts w:eastAsia="Times New Roman"/>
          <w:sz w:val="16"/>
          <w:szCs w:val="16"/>
        </w:rPr>
      </w:pP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="007A07F5" w:rsidRPr="00D01273">
        <w:rPr>
          <w:sz w:val="16"/>
          <w:szCs w:val="16"/>
        </w:rPr>
        <w:t>Total (</w:t>
      </w:r>
      <w:proofErr w:type="spellStart"/>
      <w:r w:rsidR="007A07F5" w:rsidRPr="00D01273">
        <w:rPr>
          <w:sz w:val="16"/>
          <w:szCs w:val="16"/>
        </w:rPr>
        <w:t>máximo</w:t>
      </w:r>
      <w:proofErr w:type="spellEnd"/>
      <w:r w:rsidR="007A07F5" w:rsidRPr="00D01273">
        <w:rPr>
          <w:sz w:val="16"/>
          <w:szCs w:val="16"/>
        </w:rPr>
        <w:t xml:space="preserve"> de </w:t>
      </w:r>
      <w:r w:rsidR="00993CB4">
        <w:rPr>
          <w:sz w:val="16"/>
          <w:szCs w:val="16"/>
        </w:rPr>
        <w:t>1</w:t>
      </w:r>
      <w:r w:rsidR="007A07F5" w:rsidRPr="00D01273">
        <w:rPr>
          <w:sz w:val="16"/>
          <w:szCs w:val="16"/>
        </w:rPr>
        <w:t>5):   _______</w:t>
      </w:r>
      <w:r w:rsidR="007A07F5" w:rsidRPr="00D01273">
        <w:rPr>
          <w:rFonts w:eastAsia="Times New Roman"/>
          <w:sz w:val="16"/>
          <w:szCs w:val="16"/>
        </w:rPr>
        <w:t>__</w:t>
      </w:r>
    </w:p>
    <w:p w14:paraId="050E3BAD" w14:textId="77777777" w:rsidR="00993CB4" w:rsidRPr="00D01273" w:rsidRDefault="00993CB4" w:rsidP="00993CB4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tbl>
      <w:tblPr>
        <w:tblW w:w="100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27"/>
        <w:gridCol w:w="451"/>
        <w:gridCol w:w="451"/>
        <w:gridCol w:w="451"/>
      </w:tblGrid>
      <w:tr w:rsidR="003E2069" w:rsidRPr="00171407" w14:paraId="255A992B" w14:textId="77777777" w:rsidTr="00F60149">
        <w:trPr>
          <w:cantSplit/>
        </w:trPr>
        <w:tc>
          <w:tcPr>
            <w:tcW w:w="10080" w:type="dxa"/>
            <w:gridSpan w:val="4"/>
          </w:tcPr>
          <w:p w14:paraId="2E52462B" w14:textId="6E49BABA" w:rsidR="003E2069" w:rsidRPr="003E2069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  <w:lang w:val="pt-BR"/>
              </w:rPr>
            </w:pPr>
            <w:r w:rsidRPr="00993CB4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Categoria: </w:t>
            </w:r>
            <w:r w:rsidR="003E2069"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Gestão de colaboradores através da transição</w:t>
            </w:r>
          </w:p>
        </w:tc>
      </w:tr>
      <w:tr w:rsidR="00993CB4" w:rsidRPr="00D01273" w14:paraId="441789C4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75C3894D" w14:textId="734C2E21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Identific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e gerenci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76593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situações e colaboradores resistentes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à</w:t>
            </w:r>
            <w:r w:rsidR="0076593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mudança</w:t>
            </w:r>
            <w:r w:rsidR="00765933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. 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977577D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226454D1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7E1699CF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255E0145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577F6CEC" w14:textId="0B61B43E" w:rsidR="00993CB4" w:rsidRPr="00B94ED5" w:rsidRDefault="00533530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Me disponibiliza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o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tempo necessário para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que </w:t>
            </w:r>
            <w:r>
              <w:rPr>
                <w:rFonts w:ascii="Open Sans" w:eastAsia="Times New Roman" w:hAnsi="Open Sans"/>
                <w:sz w:val="18"/>
                <w:szCs w:val="16"/>
                <w:lang w:val="pt-BR"/>
              </w:rPr>
              <w:t>eu não me ausente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do</w:t>
            </w:r>
            <w:r w:rsidR="00993CB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Projeto IFS.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E826C14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7C792D01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FC0753A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765933" w:rsidRPr="00D01273" w14:paraId="7ED553FF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2C9D7E04" w14:textId="5F9DC898" w:rsidR="00765933" w:rsidRPr="00B94ED5" w:rsidRDefault="00765933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Forne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ce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informação contínua sobre a mudança e disponibiliz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o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tempo d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e meus colegas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para</w:t>
            </w:r>
            <w:r w:rsidR="003D430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que também se envolvam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3D430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n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o projeto IFS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- 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por exemplo, a</w:t>
            </w:r>
            <w:r w:rsidR="003D430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apresentação feita 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por você</w:t>
            </w:r>
            <w:r w:rsidR="003D430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em sua área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30F81C72" w14:textId="65769BA2" w:rsidR="00765933" w:rsidRPr="00D01273" w:rsidRDefault="0076593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396815B6" w14:textId="123D801A" w:rsidR="00765933" w:rsidRPr="00D01273" w:rsidRDefault="0076593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915A7DA" w14:textId="5C682EA6" w:rsidR="00765933" w:rsidRPr="00D01273" w:rsidRDefault="0076593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246E52" w:rsidRPr="00D01273" w14:paraId="1EA8D515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674CF0FD" w14:textId="73B5C57C" w:rsidR="00246E52" w:rsidRPr="00B94ED5" w:rsidRDefault="00246E52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Busc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o apoio da consultoria SMR quando te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m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dificuldades de lidar com a gestão de mudanças.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0DC60210" w14:textId="503C1B94" w:rsidR="00246E52" w:rsidRPr="00D01273" w:rsidRDefault="00246E52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0049E5BA" w14:textId="2CFAEE49" w:rsidR="00246E52" w:rsidRPr="00D01273" w:rsidRDefault="00246E52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2DFEAFBE" w14:textId="3194211D" w:rsidR="00246E52" w:rsidRPr="00D01273" w:rsidRDefault="00246E52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7141A3" w:rsidRPr="00D01273" w14:paraId="1625E342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3884FFBC" w14:textId="2F010EB8" w:rsidR="007141A3" w:rsidRPr="00B94ED5" w:rsidRDefault="003D4304" w:rsidP="007141A3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Acompanh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os resultados apresentados com as ferramentas de GMO (exemplos: ADKAR e SAD) para medir e identificar o progresso d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e meus colegas de </w:t>
            </w:r>
            <w:proofErr w:type="spellStart"/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depto</w:t>
            </w:r>
            <w:proofErr w:type="spellEnd"/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durante a mudança.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153A670" w14:textId="0E1D519E" w:rsidR="007141A3" w:rsidRDefault="007141A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1250581" w14:textId="15D0C509" w:rsidR="007141A3" w:rsidRDefault="007141A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4511880" w14:textId="0523AB50" w:rsidR="007141A3" w:rsidRDefault="007141A3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</w:tbl>
    <w:p w14:paraId="052E8638" w14:textId="77777777" w:rsidR="00993CB4" w:rsidRPr="006B50E5" w:rsidRDefault="00993CB4" w:rsidP="00993CB4">
      <w:pPr>
        <w:spacing w:after="0" w:line="240" w:lineRule="auto"/>
        <w:jc w:val="center"/>
        <w:rPr>
          <w:sz w:val="10"/>
          <w:szCs w:val="10"/>
        </w:rPr>
      </w:pPr>
    </w:p>
    <w:p w14:paraId="7C352E54" w14:textId="3DCB4942" w:rsidR="007A07F5" w:rsidRDefault="004735C4" w:rsidP="004735C4">
      <w:pPr>
        <w:spacing w:after="0" w:line="240" w:lineRule="auto"/>
        <w:rPr>
          <w:rFonts w:eastAsia="Times New Roman"/>
          <w:sz w:val="16"/>
          <w:szCs w:val="16"/>
        </w:rPr>
      </w:pP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="007A07F5" w:rsidRPr="00D01273">
        <w:rPr>
          <w:sz w:val="16"/>
          <w:szCs w:val="16"/>
        </w:rPr>
        <w:t>Total (</w:t>
      </w:r>
      <w:proofErr w:type="spellStart"/>
      <w:r w:rsidR="007A07F5" w:rsidRPr="00D01273">
        <w:rPr>
          <w:sz w:val="16"/>
          <w:szCs w:val="16"/>
        </w:rPr>
        <w:t>máximo</w:t>
      </w:r>
      <w:proofErr w:type="spellEnd"/>
      <w:r w:rsidR="007A07F5" w:rsidRPr="00D01273">
        <w:rPr>
          <w:sz w:val="16"/>
          <w:szCs w:val="16"/>
        </w:rPr>
        <w:t xml:space="preserve"> de </w:t>
      </w:r>
      <w:r w:rsidR="00993CB4">
        <w:rPr>
          <w:sz w:val="16"/>
          <w:szCs w:val="16"/>
        </w:rPr>
        <w:t>1</w:t>
      </w:r>
      <w:r w:rsidR="007A07F5" w:rsidRPr="00D01273">
        <w:rPr>
          <w:sz w:val="16"/>
          <w:szCs w:val="16"/>
        </w:rPr>
        <w:t>5):   _______</w:t>
      </w:r>
      <w:r w:rsidR="007A07F5" w:rsidRPr="00D01273">
        <w:rPr>
          <w:rFonts w:eastAsia="Times New Roman"/>
          <w:sz w:val="16"/>
          <w:szCs w:val="16"/>
        </w:rPr>
        <w:t>__</w:t>
      </w:r>
    </w:p>
    <w:p w14:paraId="17074B1A" w14:textId="77777777" w:rsidR="006A3ACF" w:rsidRPr="004735C4" w:rsidRDefault="006A3ACF" w:rsidP="00A41DCE">
      <w:pPr>
        <w:spacing w:after="0" w:line="240" w:lineRule="auto"/>
        <w:rPr>
          <w:sz w:val="16"/>
          <w:szCs w:val="16"/>
          <w:lang w:val="pt-BR"/>
        </w:rPr>
      </w:pPr>
    </w:p>
    <w:tbl>
      <w:tblPr>
        <w:tblW w:w="1008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727"/>
        <w:gridCol w:w="451"/>
        <w:gridCol w:w="451"/>
        <w:gridCol w:w="451"/>
      </w:tblGrid>
      <w:tr w:rsidR="003E2069" w:rsidRPr="00171407" w14:paraId="319136DF" w14:textId="77777777" w:rsidTr="002C0E5C">
        <w:trPr>
          <w:cantSplit/>
        </w:trPr>
        <w:tc>
          <w:tcPr>
            <w:tcW w:w="10080" w:type="dxa"/>
            <w:gridSpan w:val="4"/>
          </w:tcPr>
          <w:p w14:paraId="10E80EEC" w14:textId="4A711059" w:rsidR="003E2069" w:rsidRPr="003E2069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  <w:lang w:val="pt-BR"/>
              </w:rPr>
            </w:pPr>
            <w:r w:rsidRPr="00993CB4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 xml:space="preserve">Categoria: </w:t>
            </w:r>
            <w:r w:rsidR="003E2069" w:rsidRPr="00D01273">
              <w:rPr>
                <w:rFonts w:ascii="Open Sans" w:eastAsia="Times New Roman" w:hAnsi="Open Sans"/>
                <w:b/>
                <w:sz w:val="16"/>
                <w:szCs w:val="16"/>
                <w:lang w:val="pt-BR"/>
              </w:rPr>
              <w:t>Reforço e comemoração de sucessos</w:t>
            </w:r>
          </w:p>
        </w:tc>
      </w:tr>
      <w:tr w:rsidR="00993CB4" w:rsidRPr="00D01273" w14:paraId="05F18DC9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25A955B1" w14:textId="78BC4A0D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Reconhe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ce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e celebr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a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publicamente os sucessos e as conquistas alcançadas p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or mim.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C49254D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4D28F3CB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371D9BDF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D01273" w14:paraId="3666C267" w14:textId="77777777" w:rsidTr="00B404C9">
        <w:tc>
          <w:tcPr>
            <w:tcW w:w="8727" w:type="dxa"/>
            <w:shd w:val="clear" w:color="auto" w:fill="CFCCEF" w:themeFill="accent4" w:themeFillTint="33"/>
          </w:tcPr>
          <w:p w14:paraId="1ED90E58" w14:textId="5DA0BA1A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Reconhe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ce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475D9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meus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/minhas</w:t>
            </w:r>
            <w:r w:rsidR="00475D94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colegas de </w:t>
            </w:r>
            <w:proofErr w:type="spellStart"/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depto</w:t>
            </w:r>
            <w:proofErr w:type="spellEnd"/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pela sua contribuição e apoio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ao Projeto IFS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080813E6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38F00E6F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6C6694C9" w14:textId="77777777" w:rsidR="00993CB4" w:rsidRPr="00D01273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D01273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  <w:tr w:rsidR="00993CB4" w:rsidRPr="002864FF" w14:paraId="7B613CDE" w14:textId="77777777" w:rsidTr="00B404C9">
        <w:trPr>
          <w:trHeight w:val="123"/>
        </w:trPr>
        <w:tc>
          <w:tcPr>
            <w:tcW w:w="8727" w:type="dxa"/>
            <w:shd w:val="clear" w:color="auto" w:fill="CFCCEF" w:themeFill="accent4" w:themeFillTint="33"/>
          </w:tcPr>
          <w:p w14:paraId="649E405E" w14:textId="76C78F51" w:rsidR="00993CB4" w:rsidRPr="00B94ED5" w:rsidRDefault="00993CB4" w:rsidP="00993CB4">
            <w:pPr>
              <w:pStyle w:val="SemEspaamento"/>
              <w:jc w:val="both"/>
              <w:rPr>
                <w:rFonts w:ascii="Open Sans" w:eastAsia="Times New Roman" w:hAnsi="Open Sans"/>
                <w:sz w:val="18"/>
                <w:szCs w:val="16"/>
                <w:lang w:val="pt-BR"/>
              </w:rPr>
            </w:pP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Forne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ce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dados para a </w:t>
            </w:r>
            <w:r w:rsidR="002864FF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equipe de gestão de mudanças (SMR)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sobre</w:t>
            </w:r>
            <w:r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como o 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s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eu time encara a mudança. Por </w:t>
            </w:r>
            <w:r w:rsidR="002864FF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exemplo, possíveis 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colaboradores </w:t>
            </w:r>
            <w:r w:rsidR="002864FF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resistentes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, riscos não detectados e conflitos do cronograma com as atividades do </w:t>
            </w:r>
            <w:r w:rsidR="00533530">
              <w:rPr>
                <w:rFonts w:ascii="Open Sans" w:eastAsia="Times New Roman" w:hAnsi="Open Sans"/>
                <w:sz w:val="18"/>
                <w:szCs w:val="16"/>
                <w:lang w:val="pt-BR"/>
              </w:rPr>
              <w:t>nosso</w:t>
            </w:r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 xml:space="preserve"> </w:t>
            </w:r>
            <w:proofErr w:type="spellStart"/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depto</w:t>
            </w:r>
            <w:proofErr w:type="spellEnd"/>
            <w:r w:rsidR="00B404C9" w:rsidRPr="00B94ED5">
              <w:rPr>
                <w:rFonts w:ascii="Open Sans" w:eastAsia="Times New Roman" w:hAnsi="Open Sans"/>
                <w:sz w:val="18"/>
                <w:szCs w:val="16"/>
                <w:lang w:val="pt-BR"/>
              </w:rPr>
              <w:t>.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26183370" w14:textId="77777777" w:rsidR="00993CB4" w:rsidRPr="002864FF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2864FF">
              <w:rPr>
                <w:rFonts w:ascii="Open Sans" w:eastAsia="Times New Roman" w:hAnsi="Open Sans"/>
                <w:sz w:val="16"/>
                <w:szCs w:val="16"/>
              </w:rPr>
              <w:t>1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097A08A3" w14:textId="77777777" w:rsidR="00993CB4" w:rsidRPr="002864FF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2864FF">
              <w:rPr>
                <w:rFonts w:ascii="Open Sans" w:eastAsia="Times New Roman" w:hAnsi="Open Sans"/>
                <w:sz w:val="16"/>
                <w:szCs w:val="16"/>
              </w:rPr>
              <w:t>2</w:t>
            </w:r>
          </w:p>
        </w:tc>
        <w:tc>
          <w:tcPr>
            <w:tcW w:w="451" w:type="dxa"/>
            <w:shd w:val="clear" w:color="auto" w:fill="CFCCEF" w:themeFill="accent4" w:themeFillTint="33"/>
            <w:vAlign w:val="center"/>
          </w:tcPr>
          <w:p w14:paraId="29AA0A7E" w14:textId="77777777" w:rsidR="00993CB4" w:rsidRPr="002864FF" w:rsidRDefault="00993CB4" w:rsidP="00993CB4">
            <w:pPr>
              <w:pStyle w:val="SemEspaamento"/>
              <w:jc w:val="center"/>
              <w:rPr>
                <w:rFonts w:ascii="Open Sans" w:eastAsia="Times New Roman" w:hAnsi="Open Sans"/>
                <w:sz w:val="16"/>
                <w:szCs w:val="16"/>
              </w:rPr>
            </w:pPr>
            <w:r w:rsidRPr="002864FF">
              <w:rPr>
                <w:rFonts w:ascii="Open Sans" w:eastAsia="Times New Roman" w:hAnsi="Open Sans"/>
                <w:sz w:val="16"/>
                <w:szCs w:val="16"/>
              </w:rPr>
              <w:t>3</w:t>
            </w:r>
          </w:p>
        </w:tc>
      </w:tr>
    </w:tbl>
    <w:p w14:paraId="2320354B" w14:textId="77777777" w:rsidR="00993CB4" w:rsidRPr="006B50E5" w:rsidRDefault="00993CB4" w:rsidP="00993CB4">
      <w:pPr>
        <w:spacing w:after="0" w:line="240" w:lineRule="auto"/>
        <w:jc w:val="center"/>
        <w:rPr>
          <w:sz w:val="10"/>
          <w:szCs w:val="10"/>
        </w:rPr>
      </w:pPr>
    </w:p>
    <w:p w14:paraId="2DC9420C" w14:textId="5C0DB48A" w:rsidR="00D01273" w:rsidRDefault="00B404C9" w:rsidP="00B404C9">
      <w:pPr>
        <w:spacing w:after="0" w:line="240" w:lineRule="auto"/>
        <w:rPr>
          <w:rFonts w:eastAsia="Times New Roman"/>
          <w:sz w:val="16"/>
          <w:szCs w:val="16"/>
          <w:lang w:val="pt-BR"/>
        </w:rPr>
      </w:pP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</w:t>
      </w:r>
      <w:r>
        <w:rPr>
          <w:rFonts w:eastAsia="Times New Roman" w:cstheme="minorHAnsi"/>
          <w:bCs/>
          <w:sz w:val="16"/>
          <w:szCs w:val="16"/>
          <w:lang w:val="pt-BR"/>
        </w:rPr>
        <w:t xml:space="preserve">                               </w:t>
      </w:r>
      <w:r w:rsidRPr="00993CB4">
        <w:rPr>
          <w:rFonts w:eastAsia="Times New Roman" w:cstheme="minorHAnsi"/>
          <w:bCs/>
          <w:sz w:val="16"/>
          <w:szCs w:val="16"/>
          <w:lang w:val="pt-BR"/>
        </w:rPr>
        <w:t xml:space="preserve">           </w:t>
      </w:r>
      <w:r w:rsidR="007A07F5" w:rsidRPr="006B50E5">
        <w:rPr>
          <w:sz w:val="16"/>
          <w:szCs w:val="16"/>
          <w:lang w:val="pt-BR"/>
        </w:rPr>
        <w:t xml:space="preserve">Total (máximo de </w:t>
      </w:r>
      <w:r w:rsidR="00511CBB">
        <w:rPr>
          <w:sz w:val="16"/>
          <w:szCs w:val="16"/>
          <w:lang w:val="pt-BR"/>
        </w:rPr>
        <w:t>9</w:t>
      </w:r>
      <w:r w:rsidR="007A07F5" w:rsidRPr="006B50E5">
        <w:rPr>
          <w:sz w:val="16"/>
          <w:szCs w:val="16"/>
          <w:lang w:val="pt-BR"/>
        </w:rPr>
        <w:t>):   _______</w:t>
      </w:r>
      <w:r w:rsidR="007A07F5" w:rsidRPr="006B50E5">
        <w:rPr>
          <w:rFonts w:eastAsia="Times New Roman"/>
          <w:sz w:val="16"/>
          <w:szCs w:val="16"/>
          <w:lang w:val="pt-BR"/>
        </w:rPr>
        <w:t>__</w:t>
      </w:r>
    </w:p>
    <w:p w14:paraId="40C6198E" w14:textId="77777777" w:rsidR="0023710A" w:rsidRDefault="0023710A" w:rsidP="00993CB4">
      <w:pPr>
        <w:spacing w:after="0" w:line="240" w:lineRule="auto"/>
        <w:jc w:val="center"/>
        <w:rPr>
          <w:rFonts w:eastAsia="Times New Roman"/>
          <w:sz w:val="16"/>
          <w:szCs w:val="16"/>
          <w:lang w:val="pt-BR"/>
        </w:rPr>
      </w:pPr>
    </w:p>
    <w:p w14:paraId="10FA84B6" w14:textId="3E648C3D" w:rsidR="00B404C9" w:rsidRPr="006A3ACF" w:rsidRDefault="006B50E5" w:rsidP="00B404C9">
      <w:pPr>
        <w:spacing w:after="0" w:line="240" w:lineRule="auto"/>
        <w:jc w:val="both"/>
        <w:rPr>
          <w:rFonts w:cs="Open Sans"/>
          <w:bCs/>
          <w:sz w:val="18"/>
          <w:szCs w:val="18"/>
          <w:lang w:val="pt-BR"/>
        </w:rPr>
      </w:pPr>
      <w:r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>A</w:t>
      </w:r>
      <w:r w:rsidR="009014DA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 </w:t>
      </w:r>
      <w:r w:rsidR="00A41DCE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consultoria SMR é responsável pelo time de </w:t>
      </w:r>
      <w:r w:rsidR="009014DA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>Gestão da Mudança</w:t>
      </w:r>
      <w:r w:rsidR="00A41DCE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 Organizacionais (GMO) que </w:t>
      </w:r>
      <w:r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atua no </w:t>
      </w:r>
      <w:r w:rsidR="00171407" w:rsidRPr="00171407">
        <w:rPr>
          <w:rFonts w:eastAsia="Times New Roman" w:cstheme="minorHAnsi"/>
          <w:bCs/>
          <w:color w:val="FFFFFF" w:themeColor="background1"/>
          <w:kern w:val="28"/>
          <w:sz w:val="18"/>
          <w:szCs w:val="18"/>
          <w:highlight w:val="darkBlue"/>
          <w:lang w:val="pt-BR"/>
        </w:rPr>
        <w:t>Cliente</w:t>
      </w:r>
      <w:r w:rsidR="00171407" w:rsidRPr="00171407">
        <w:rPr>
          <w:rFonts w:eastAsia="Times New Roman" w:cstheme="minorHAnsi"/>
          <w:bCs/>
          <w:color w:val="FFFFFF" w:themeColor="background1"/>
          <w:kern w:val="28"/>
          <w:sz w:val="18"/>
          <w:szCs w:val="18"/>
          <w:lang w:val="pt-BR"/>
        </w:rPr>
        <w:t xml:space="preserve"> </w:t>
      </w:r>
      <w:r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>para compreender e mitigar os riscos inerentes ao</w:t>
      </w:r>
      <w:r w:rsidR="00A41DCE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 lado humano do</w:t>
      </w:r>
      <w:r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 Projeto IFS10. </w:t>
      </w:r>
      <w:r w:rsidR="006A3ACF" w:rsidRPr="00B404C9">
        <w:rPr>
          <w:rFonts w:eastAsia="Times New Roman" w:cstheme="minorHAnsi"/>
          <w:bCs/>
          <w:kern w:val="28"/>
          <w:sz w:val="18"/>
          <w:szCs w:val="18"/>
          <w:lang w:val="pt-BR"/>
        </w:rPr>
        <w:t xml:space="preserve">Traga para nós as tuas necessidades e dúvidas, será um prazer colaborar: </w:t>
      </w:r>
    </w:p>
    <w:sectPr w:rsidR="00B404C9" w:rsidRPr="006A3ACF" w:rsidSect="004D3A66">
      <w:headerReference w:type="default" r:id="rId8"/>
      <w:footerReference w:type="even" r:id="rId9"/>
      <w:footerReference w:type="default" r:id="rId10"/>
      <w:pgSz w:w="12240" w:h="15840"/>
      <w:pgMar w:top="793" w:right="720" w:bottom="567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F990" w14:textId="77777777" w:rsidR="00F4768B" w:rsidRDefault="00F4768B" w:rsidP="00B76AE9">
      <w:r>
        <w:separator/>
      </w:r>
    </w:p>
  </w:endnote>
  <w:endnote w:type="continuationSeparator" w:id="0">
    <w:p w14:paraId="6FA9F749" w14:textId="77777777" w:rsidR="00F4768B" w:rsidRDefault="00F4768B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8DF8" w14:textId="77777777" w:rsidR="008415C8" w:rsidRDefault="008415C8" w:rsidP="008C71C4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ED2C72" w14:textId="77777777" w:rsidR="008415C8" w:rsidRDefault="008415C8" w:rsidP="00695A9F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0183" w14:textId="1A725FAB" w:rsidR="008415C8" w:rsidRPr="0088219F" w:rsidRDefault="00A41DCE" w:rsidP="00D01273">
    <w:pPr>
      <w:pStyle w:val="Rodap"/>
      <w:tabs>
        <w:tab w:val="clear" w:pos="4680"/>
        <w:tab w:val="clear" w:pos="9360"/>
        <w:tab w:val="left" w:pos="996"/>
      </w:tabs>
      <w:spacing w:line="276" w:lineRule="auto"/>
      <w:ind w:left="-990" w:firstLine="360"/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4A925" wp14:editId="66BD3C39">
              <wp:simplePos x="0" y="0"/>
              <wp:positionH relativeFrom="margin">
                <wp:posOffset>44450</wp:posOffset>
              </wp:positionH>
              <wp:positionV relativeFrom="paragraph">
                <wp:posOffset>140970</wp:posOffset>
              </wp:positionV>
              <wp:extent cx="5740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2A440518" w:rsidR="008415C8" w:rsidRPr="00800994" w:rsidRDefault="008415C8" w:rsidP="00A41DCE">
                          <w:pP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proofErr w:type="spell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Prosci</w:t>
                          </w:r>
                          <w:proofErr w:type="spellEnd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41DCE" w:rsidRPr="00A41DC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</w:t>
                          </w:r>
                          <w:r w:rsidR="00A41DC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| www.smrconsultoria.com www.www.consult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4234hpkprosci.comwww.prosci.com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5pt;margin-top:11.1pt;width:45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" filled="f" stroked="f">
              <v:textbox>
                <w:txbxContent>
                  <w:p w14:paraId="0A370523" w14:textId="2A440518" w:rsidR="008415C8" w:rsidRPr="00800994" w:rsidRDefault="008415C8" w:rsidP="00A41DCE">
                    <w:pPr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A41DCE" w:rsidRPr="00A41DCE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</w:t>
                    </w:r>
                    <w:r w:rsidR="00A41DC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| www.smrconsultoria.com www.www.consult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4234hpkprosci.comwww.prosci.com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B372E29" wp14:editId="13B0C323">
          <wp:simplePos x="0" y="0"/>
          <wp:positionH relativeFrom="column">
            <wp:posOffset>6316980</wp:posOffset>
          </wp:positionH>
          <wp:positionV relativeFrom="paragraph">
            <wp:posOffset>238125</wp:posOffset>
          </wp:positionV>
          <wp:extent cx="928370" cy="286385"/>
          <wp:effectExtent l="0" t="0" r="11430" b="0"/>
          <wp:wrapNone/>
          <wp:docPr id="299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28F0" w14:textId="77777777" w:rsidR="00F4768B" w:rsidRDefault="00F4768B" w:rsidP="00B76AE9">
      <w:r>
        <w:separator/>
      </w:r>
    </w:p>
  </w:footnote>
  <w:footnote w:type="continuationSeparator" w:id="0">
    <w:p w14:paraId="7513A254" w14:textId="77777777" w:rsidR="00F4768B" w:rsidRDefault="00F4768B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C676" w14:textId="77777777" w:rsidR="004D3A66" w:rsidRDefault="004D3A66" w:rsidP="004D3A66">
    <w:pPr>
      <w:pStyle w:val="Cabealho"/>
      <w:spacing w:line="240" w:lineRule="auto"/>
      <w:ind w:left="36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F037AF1" wp14:editId="2014A544">
          <wp:simplePos x="0" y="0"/>
          <wp:positionH relativeFrom="column">
            <wp:posOffset>5981700</wp:posOffset>
          </wp:positionH>
          <wp:positionV relativeFrom="paragraph">
            <wp:posOffset>190500</wp:posOffset>
          </wp:positionV>
          <wp:extent cx="819150" cy="361950"/>
          <wp:effectExtent l="0" t="0" r="0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298" name="Imagem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-SM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C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9D72E5" wp14:editId="105C8BC6">
              <wp:simplePos x="0" y="0"/>
              <wp:positionH relativeFrom="column">
                <wp:posOffset>-1104900</wp:posOffset>
              </wp:positionH>
              <wp:positionV relativeFrom="paragraph">
                <wp:posOffset>23495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900AD8" id="Rectangle 1" o:spid="_x0000_s1026" style="position:absolute;margin-left:-87pt;margin-top:1.85pt;width:9in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" fillcolor="#342a86 [3207]" stroked="f"/>
          </w:pict>
        </mc:Fallback>
      </mc:AlternateContent>
    </w:r>
  </w:p>
  <w:p w14:paraId="1A49B953" w14:textId="6682129C" w:rsidR="008415C8" w:rsidRDefault="006A3ACF" w:rsidP="004D3A66">
    <w:pPr>
      <w:pStyle w:val="Cabealho"/>
      <w:spacing w:line="240" w:lineRule="auto"/>
      <w:ind w:left="360"/>
    </w:pPr>
    <w:r>
      <w:t>Nome: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439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4632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94628"/>
    <w:multiLevelType w:val="hybridMultilevel"/>
    <w:tmpl w:val="6852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CEA6C59"/>
    <w:multiLevelType w:val="hybridMultilevel"/>
    <w:tmpl w:val="C5A4A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1FD3"/>
    <w:multiLevelType w:val="multilevel"/>
    <w:tmpl w:val="DB4EF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2E47"/>
    <w:multiLevelType w:val="hybridMultilevel"/>
    <w:tmpl w:val="2E1C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4A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427C2"/>
    <w:multiLevelType w:val="hybridMultilevel"/>
    <w:tmpl w:val="6BC4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62438"/>
    <w:multiLevelType w:val="multilevel"/>
    <w:tmpl w:val="4416523C"/>
    <w:numStyleLink w:val="NumberedList"/>
  </w:abstractNum>
  <w:abstractNum w:abstractNumId="17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FC1837"/>
    <w:multiLevelType w:val="hybridMultilevel"/>
    <w:tmpl w:val="3AC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E22CC"/>
    <w:multiLevelType w:val="hybridMultilevel"/>
    <w:tmpl w:val="532E9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B2B3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38C047D"/>
    <w:multiLevelType w:val="multilevel"/>
    <w:tmpl w:val="84345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333FC1"/>
    <w:multiLevelType w:val="hybridMultilevel"/>
    <w:tmpl w:val="2240675E"/>
    <w:lvl w:ilvl="0" w:tplc="2A64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0"/>
  </w:num>
  <w:num w:numId="5">
    <w:abstractNumId w:val="3"/>
  </w:num>
  <w:num w:numId="6">
    <w:abstractNumId w:val="3"/>
  </w:num>
  <w:num w:numId="7">
    <w:abstractNumId w:val="15"/>
  </w:num>
  <w:num w:numId="8">
    <w:abstractNumId w:val="10"/>
  </w:num>
  <w:num w:numId="9">
    <w:abstractNumId w:val="13"/>
  </w:num>
  <w:num w:numId="10">
    <w:abstractNumId w:val="26"/>
  </w:num>
  <w:num w:numId="11">
    <w:abstractNumId w:val="8"/>
  </w:num>
  <w:num w:numId="12">
    <w:abstractNumId w:val="32"/>
  </w:num>
  <w:num w:numId="13">
    <w:abstractNumId w:val="18"/>
  </w:num>
  <w:num w:numId="14">
    <w:abstractNumId w:val="23"/>
  </w:num>
  <w:num w:numId="15">
    <w:abstractNumId w:val="33"/>
  </w:num>
  <w:num w:numId="16">
    <w:abstractNumId w:val="21"/>
  </w:num>
  <w:num w:numId="17">
    <w:abstractNumId w:val="22"/>
  </w:num>
  <w:num w:numId="18">
    <w:abstractNumId w:val="5"/>
  </w:num>
  <w:num w:numId="19">
    <w:abstractNumId w:val="16"/>
  </w:num>
  <w:num w:numId="20">
    <w:abstractNumId w:val="25"/>
  </w:num>
  <w:num w:numId="21">
    <w:abstractNumId w:val="11"/>
  </w:num>
  <w:num w:numId="22">
    <w:abstractNumId w:val="24"/>
  </w:num>
  <w:num w:numId="23">
    <w:abstractNumId w:val="17"/>
  </w:num>
  <w:num w:numId="24">
    <w:abstractNumId w:val="14"/>
  </w:num>
  <w:num w:numId="25">
    <w:abstractNumId w:val="4"/>
  </w:num>
  <w:num w:numId="26">
    <w:abstractNumId w:val="7"/>
  </w:num>
  <w:num w:numId="27">
    <w:abstractNumId w:val="12"/>
  </w:num>
  <w:num w:numId="28">
    <w:abstractNumId w:val="28"/>
  </w:num>
  <w:num w:numId="29">
    <w:abstractNumId w:val="19"/>
  </w:num>
  <w:num w:numId="30">
    <w:abstractNumId w:val="6"/>
  </w:num>
  <w:num w:numId="31">
    <w:abstractNumId w:val="31"/>
  </w:num>
  <w:num w:numId="32">
    <w:abstractNumId w:val="1"/>
  </w:num>
  <w:num w:numId="33">
    <w:abstractNumId w:val="29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23594"/>
    <w:rsid w:val="001348B6"/>
    <w:rsid w:val="00171407"/>
    <w:rsid w:val="00185F00"/>
    <w:rsid w:val="001A1863"/>
    <w:rsid w:val="001B1DA8"/>
    <w:rsid w:val="001B4209"/>
    <w:rsid w:val="001C4E1D"/>
    <w:rsid w:val="001D10B9"/>
    <w:rsid w:val="001D7095"/>
    <w:rsid w:val="001F7773"/>
    <w:rsid w:val="00202C84"/>
    <w:rsid w:val="0023710A"/>
    <w:rsid w:val="002404D2"/>
    <w:rsid w:val="00246E52"/>
    <w:rsid w:val="00270E1B"/>
    <w:rsid w:val="00284841"/>
    <w:rsid w:val="002864FF"/>
    <w:rsid w:val="002A507D"/>
    <w:rsid w:val="002C0D31"/>
    <w:rsid w:val="002F01F5"/>
    <w:rsid w:val="00331AAD"/>
    <w:rsid w:val="00345ED5"/>
    <w:rsid w:val="00347DDF"/>
    <w:rsid w:val="003942A9"/>
    <w:rsid w:val="00394CDC"/>
    <w:rsid w:val="003A013A"/>
    <w:rsid w:val="003B524C"/>
    <w:rsid w:val="003D4304"/>
    <w:rsid w:val="003E2069"/>
    <w:rsid w:val="003F5AB1"/>
    <w:rsid w:val="004007A2"/>
    <w:rsid w:val="004131CB"/>
    <w:rsid w:val="0042330D"/>
    <w:rsid w:val="00424049"/>
    <w:rsid w:val="004375ED"/>
    <w:rsid w:val="00462A1B"/>
    <w:rsid w:val="004735C4"/>
    <w:rsid w:val="00475D94"/>
    <w:rsid w:val="004819A3"/>
    <w:rsid w:val="004C4A5E"/>
    <w:rsid w:val="004D3A66"/>
    <w:rsid w:val="0050297C"/>
    <w:rsid w:val="00511CBB"/>
    <w:rsid w:val="00517191"/>
    <w:rsid w:val="00533530"/>
    <w:rsid w:val="0057144F"/>
    <w:rsid w:val="00586A8D"/>
    <w:rsid w:val="005930B7"/>
    <w:rsid w:val="005C3765"/>
    <w:rsid w:val="005D6B08"/>
    <w:rsid w:val="005F38C8"/>
    <w:rsid w:val="00604D8C"/>
    <w:rsid w:val="00626E66"/>
    <w:rsid w:val="00627762"/>
    <w:rsid w:val="00666F3E"/>
    <w:rsid w:val="00677587"/>
    <w:rsid w:val="006871DF"/>
    <w:rsid w:val="00695A9F"/>
    <w:rsid w:val="006A3ACF"/>
    <w:rsid w:val="006A60D4"/>
    <w:rsid w:val="006B50E5"/>
    <w:rsid w:val="006B7DAD"/>
    <w:rsid w:val="006D12AC"/>
    <w:rsid w:val="006D7C28"/>
    <w:rsid w:val="006E5EF9"/>
    <w:rsid w:val="006F05FD"/>
    <w:rsid w:val="007141A3"/>
    <w:rsid w:val="00732426"/>
    <w:rsid w:val="007358E3"/>
    <w:rsid w:val="00754F41"/>
    <w:rsid w:val="00765933"/>
    <w:rsid w:val="00784DEA"/>
    <w:rsid w:val="007A07F5"/>
    <w:rsid w:val="007B0B19"/>
    <w:rsid w:val="007D066F"/>
    <w:rsid w:val="007F5127"/>
    <w:rsid w:val="00800994"/>
    <w:rsid w:val="00803920"/>
    <w:rsid w:val="00811F19"/>
    <w:rsid w:val="008227C8"/>
    <w:rsid w:val="00835666"/>
    <w:rsid w:val="008415C8"/>
    <w:rsid w:val="0085054A"/>
    <w:rsid w:val="008813AE"/>
    <w:rsid w:val="0088219F"/>
    <w:rsid w:val="008919B7"/>
    <w:rsid w:val="008A451C"/>
    <w:rsid w:val="008C71C4"/>
    <w:rsid w:val="008E77F4"/>
    <w:rsid w:val="008F17EC"/>
    <w:rsid w:val="009014DA"/>
    <w:rsid w:val="009158B2"/>
    <w:rsid w:val="00922DB6"/>
    <w:rsid w:val="00931F5E"/>
    <w:rsid w:val="009347BB"/>
    <w:rsid w:val="00934843"/>
    <w:rsid w:val="00946F04"/>
    <w:rsid w:val="00973C2C"/>
    <w:rsid w:val="00982A60"/>
    <w:rsid w:val="00993CB4"/>
    <w:rsid w:val="00993E2B"/>
    <w:rsid w:val="009A46FE"/>
    <w:rsid w:val="009A6771"/>
    <w:rsid w:val="009D18E6"/>
    <w:rsid w:val="009D1D9C"/>
    <w:rsid w:val="009D4F97"/>
    <w:rsid w:val="009E0499"/>
    <w:rsid w:val="009E7B8F"/>
    <w:rsid w:val="009F0CFC"/>
    <w:rsid w:val="00A0603C"/>
    <w:rsid w:val="00A17E02"/>
    <w:rsid w:val="00A24BFD"/>
    <w:rsid w:val="00A24EE5"/>
    <w:rsid w:val="00A41DCE"/>
    <w:rsid w:val="00A54BE1"/>
    <w:rsid w:val="00A62295"/>
    <w:rsid w:val="00A71F64"/>
    <w:rsid w:val="00A95DB6"/>
    <w:rsid w:val="00B015E5"/>
    <w:rsid w:val="00B328F4"/>
    <w:rsid w:val="00B35A8C"/>
    <w:rsid w:val="00B36CEF"/>
    <w:rsid w:val="00B404C9"/>
    <w:rsid w:val="00B43CAB"/>
    <w:rsid w:val="00B5687A"/>
    <w:rsid w:val="00B62D40"/>
    <w:rsid w:val="00B76AE9"/>
    <w:rsid w:val="00B8211B"/>
    <w:rsid w:val="00B94ED5"/>
    <w:rsid w:val="00BA254E"/>
    <w:rsid w:val="00BC31BD"/>
    <w:rsid w:val="00BC3886"/>
    <w:rsid w:val="00BD7429"/>
    <w:rsid w:val="00BE05E7"/>
    <w:rsid w:val="00BE0F1F"/>
    <w:rsid w:val="00BE49EA"/>
    <w:rsid w:val="00BF6DF1"/>
    <w:rsid w:val="00C1594F"/>
    <w:rsid w:val="00C17BAD"/>
    <w:rsid w:val="00C3717D"/>
    <w:rsid w:val="00C40646"/>
    <w:rsid w:val="00C536BF"/>
    <w:rsid w:val="00C6728A"/>
    <w:rsid w:val="00C8423A"/>
    <w:rsid w:val="00CA0662"/>
    <w:rsid w:val="00CB432A"/>
    <w:rsid w:val="00CF6DF7"/>
    <w:rsid w:val="00D01273"/>
    <w:rsid w:val="00D33A96"/>
    <w:rsid w:val="00D46672"/>
    <w:rsid w:val="00D469C2"/>
    <w:rsid w:val="00D91B30"/>
    <w:rsid w:val="00DC6B7A"/>
    <w:rsid w:val="00DD081A"/>
    <w:rsid w:val="00DD6646"/>
    <w:rsid w:val="00DE1841"/>
    <w:rsid w:val="00DE2C9E"/>
    <w:rsid w:val="00DE64DE"/>
    <w:rsid w:val="00E01E7B"/>
    <w:rsid w:val="00E37B69"/>
    <w:rsid w:val="00E6516B"/>
    <w:rsid w:val="00E70F79"/>
    <w:rsid w:val="00E927F2"/>
    <w:rsid w:val="00EA46CA"/>
    <w:rsid w:val="00ED1214"/>
    <w:rsid w:val="00ED39E3"/>
    <w:rsid w:val="00ED5BD8"/>
    <w:rsid w:val="00ED6D47"/>
    <w:rsid w:val="00F0191A"/>
    <w:rsid w:val="00F059DF"/>
    <w:rsid w:val="00F32040"/>
    <w:rsid w:val="00F3607B"/>
    <w:rsid w:val="00F4768B"/>
    <w:rsid w:val="00F631A9"/>
    <w:rsid w:val="00F67EEC"/>
    <w:rsid w:val="00F765D3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9C034"/>
  <w15:docId w15:val="{6EF92300-D667-41D9-8402-5BB456CB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4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Ttulo1">
    <w:name w:val="heading 1"/>
    <w:aliases w:val="H1"/>
    <w:basedOn w:val="Normal"/>
    <w:next w:val="Normal"/>
    <w:link w:val="Ttulo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02C84"/>
  </w:style>
  <w:style w:type="paragraph" w:styleId="Rodap">
    <w:name w:val="footer"/>
    <w:basedOn w:val="Normal"/>
    <w:link w:val="Rodap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02C84"/>
  </w:style>
  <w:style w:type="paragraph" w:styleId="Textodebalo">
    <w:name w:val="Balloon Text"/>
    <w:basedOn w:val="Normal"/>
    <w:link w:val="Textodebalo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02C8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tuloChar">
    <w:name w:val="Título Char"/>
    <w:basedOn w:val="Fontepargpadro"/>
    <w:link w:val="Ttulo"/>
    <w:rsid w:val="00014C59"/>
    <w:rPr>
      <w:rFonts w:ascii="Verdana" w:eastAsia="Times New Roman" w:hAnsi="Verdana"/>
      <w:sz w:val="32"/>
      <w:szCs w:val="24"/>
    </w:rPr>
  </w:style>
  <w:style w:type="character" w:customStyle="1" w:styleId="Ttulo1Char">
    <w:name w:val="Título 1 Char"/>
    <w:aliases w:val="H1 Char"/>
    <w:basedOn w:val="Fontepargpadro"/>
    <w:link w:val="Ttulo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PargrafodaLista">
    <w:name w:val="List Paragraph"/>
    <w:basedOn w:val="Normal"/>
    <w:uiPriority w:val="34"/>
    <w:qFormat/>
    <w:rsid w:val="00B76AE9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Fontepargpadro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Commarcadores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Fontepargpadro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SemEspaamento">
    <w:name w:val="No Spacing"/>
    <w:link w:val="SemEspaamentoChar"/>
    <w:uiPriority w:val="1"/>
    <w:qFormat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PargrafodaLista"/>
    <w:qFormat/>
    <w:rsid w:val="00F631A9"/>
    <w:pPr>
      <w:numPr>
        <w:numId w:val="9"/>
      </w:numPr>
      <w:spacing w:before="40"/>
      <w:ind w:left="714" w:hanging="357"/>
    </w:pPr>
  </w:style>
  <w:style w:type="character" w:styleId="Nmerodepgina">
    <w:name w:val="page number"/>
    <w:basedOn w:val="Fontepargpadro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Semlista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elacomgrade">
    <w:name w:val="Table Grid"/>
    <w:basedOn w:val="Tabela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Citao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rsid w:val="00462A1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SombreamentoClaro-nfase6">
    <w:name w:val="Light Shading Accent 6"/>
    <w:basedOn w:val="Tabela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ela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ela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SombreamentoClaro-nfase4">
    <w:name w:val="Light Shading Accent 4"/>
    <w:basedOn w:val="Tabela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Ttulo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Ttulo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6F05FD"/>
    <w:pPr>
      <w:spacing w:after="0" w:line="240" w:lineRule="auto"/>
    </w:pPr>
    <w:rPr>
      <w:rFonts w:ascii="Times New Roman" w:eastAsia="Times New Roman" w:hAnsi="Times New Roman"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6F05FD"/>
    <w:rPr>
      <w:rFonts w:ascii="Times New Roman" w:eastAsia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0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AE11-4037-4073-A107-3FF837D2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Fernando Veroneze</cp:lastModifiedBy>
  <cp:revision>2</cp:revision>
  <cp:lastPrinted>2019-07-26T19:11:00Z</cp:lastPrinted>
  <dcterms:created xsi:type="dcterms:W3CDTF">2020-11-24T15:42:00Z</dcterms:created>
  <dcterms:modified xsi:type="dcterms:W3CDTF">2020-11-24T15:42:00Z</dcterms:modified>
</cp:coreProperties>
</file>